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0BE94" w14:textId="5EC5AAD9" w:rsidR="00BA24AA" w:rsidRDefault="00C1477E" w:rsidP="007B7B65">
      <w:pPr>
        <w:pStyle w:val="a9"/>
        <w:rPr>
          <w:rtl/>
        </w:rPr>
      </w:pPr>
      <w:r>
        <w:t>Second Read</w:t>
      </w:r>
      <w:r w:rsidR="009F0046">
        <w:t>ing</w:t>
      </w:r>
      <w:r>
        <w:t xml:space="preserve"> / Arik </w:t>
      </w:r>
      <w:proofErr w:type="spellStart"/>
      <w:r>
        <w:t>Glassner</w:t>
      </w:r>
      <w:proofErr w:type="spellEnd"/>
    </w:p>
    <w:p w14:paraId="224BF5A1" w14:textId="2A7F2FF7" w:rsidR="007B7B65" w:rsidRDefault="00C1477E" w:rsidP="00C1477E">
      <w:pPr>
        <w:pStyle w:val="a4"/>
        <w:bidi w:val="0"/>
        <w:rPr>
          <w:rtl/>
        </w:rPr>
      </w:pPr>
      <w:r>
        <w:t>Yehoshua Takes Note of the Soul</w:t>
      </w:r>
    </w:p>
    <w:p w14:paraId="571AEE5D" w14:textId="1B526451" w:rsidR="007B7B65" w:rsidRPr="007B7B65" w:rsidRDefault="00B624C5" w:rsidP="00B624C5">
      <w:pPr>
        <w:pStyle w:val="a5"/>
        <w:bidi w:val="0"/>
        <w:rPr>
          <w:rtl/>
        </w:rPr>
      </w:pPr>
      <w:r>
        <w:t>With his sharp instincts, A.B. Yehoshua breaks through in his latest book into a burning but insufficiently discussed fundamental issue: The increasing tendency to explain man as solely the product of physical processes. Through a variety of ways, he revives the soul, without which there is no meaning to literature.</w:t>
      </w:r>
    </w:p>
    <w:p w14:paraId="3F374D90" w14:textId="277895C0" w:rsidR="00E22697" w:rsidRPr="009A5385" w:rsidRDefault="009A5385" w:rsidP="009A5385">
      <w:pPr>
        <w:pStyle w:val="a7"/>
        <w:bidi w:val="0"/>
        <w:rPr>
          <w:rtl/>
        </w:rPr>
      </w:pPr>
      <w:r>
        <w:t>I</w:t>
      </w:r>
    </w:p>
    <w:p w14:paraId="64E1E2C2" w14:textId="77777777" w:rsidR="00F26397" w:rsidRDefault="00571521" w:rsidP="00571521">
      <w:pPr>
        <w:pStyle w:val="a3"/>
        <w:bidi w:val="0"/>
      </w:pPr>
      <w:r>
        <w:t xml:space="preserve">The latest novel published by A.B. Yehoshua so far – </w:t>
      </w:r>
      <w:r w:rsidRPr="00536E34">
        <w:rPr>
          <w:i/>
          <w:iCs/>
        </w:rPr>
        <w:t>The Tunnel</w:t>
      </w:r>
      <w:r>
        <w:t xml:space="preserve">, published by </w:t>
      </w:r>
      <w:proofErr w:type="spellStart"/>
      <w:r>
        <w:t>Hasifriya</w:t>
      </w:r>
      <w:proofErr w:type="spellEnd"/>
      <w:r>
        <w:t xml:space="preserve"> </w:t>
      </w:r>
      <w:proofErr w:type="spellStart"/>
      <w:r>
        <w:t>Hachadashah</w:t>
      </w:r>
      <w:proofErr w:type="spellEnd"/>
      <w:r>
        <w:t xml:space="preserve"> [The New Library] – is a book which loves life, overflowing with humor and energy despite its grim subject matter. </w:t>
      </w:r>
      <w:proofErr w:type="spellStart"/>
      <w:r>
        <w:t>Tzvi</w:t>
      </w:r>
      <w:proofErr w:type="spellEnd"/>
      <w:r>
        <w:t xml:space="preserve"> </w:t>
      </w:r>
      <w:proofErr w:type="spellStart"/>
      <w:r>
        <w:t>Luriah</w:t>
      </w:r>
      <w:proofErr w:type="spellEnd"/>
      <w:r>
        <w:t xml:space="preserve">, the protagonist, is a senior road engineer who lives in Tel Aviv and who is presently retired and in his seventies. The novel </w:t>
      </w:r>
      <w:r w:rsidR="008F7365">
        <w:t>provides a third person narration</w:t>
      </w:r>
      <w:r>
        <w:t xml:space="preserve"> of revelations of the beginnings of dementia by </w:t>
      </w:r>
      <w:proofErr w:type="spellStart"/>
      <w:r>
        <w:t>Tzvi</w:t>
      </w:r>
      <w:proofErr w:type="spellEnd"/>
      <w:r>
        <w:t xml:space="preserve">, who is happily married and a father of two. At the same time, we learn of a Palestinian family which has ended up in a strange identity limbo: expelled from Palestinian society but not absorbed within Israeli society. </w:t>
      </w:r>
    </w:p>
    <w:p w14:paraId="0A47B103" w14:textId="4A7BD87E" w:rsidR="00571521" w:rsidRDefault="00571521" w:rsidP="00F26397">
      <w:pPr>
        <w:pStyle w:val="a3"/>
        <w:bidi w:val="0"/>
      </w:pPr>
      <w:r>
        <w:t xml:space="preserve">Yehoshua does a very interesting job of weaving </w:t>
      </w:r>
      <w:proofErr w:type="spellStart"/>
      <w:r>
        <w:t>Tzvi’s</w:t>
      </w:r>
      <w:proofErr w:type="spellEnd"/>
      <w:r>
        <w:t xml:space="preserve"> private identity crisis (in that he is about to lose his private identity) with the identity crisis of the Palestinian family and in general with the issue of the identity of the two nations living in the land and fighting each other to the end to preserve their separate identity (on this matter, he dwells on the speculation of Yitzhak Ben-</w:t>
      </w:r>
      <w:proofErr w:type="spellStart"/>
      <w:r>
        <w:t>Tzvi</w:t>
      </w:r>
      <w:proofErr w:type="spellEnd"/>
      <w:r>
        <w:t xml:space="preserve"> and David Ben-Gurion that the Palestinians are descendants of the Jews who clung to the land, meaning they are simply “Jews who forgot their identity”).</w:t>
      </w:r>
    </w:p>
    <w:p w14:paraId="79B79129" w14:textId="09C1D529" w:rsidR="002B51BE" w:rsidRDefault="0000260D" w:rsidP="00CE664F">
      <w:pPr>
        <w:pStyle w:val="a3"/>
        <w:bidi w:val="0"/>
      </w:pPr>
      <w:r>
        <w:t>To th</w:t>
      </w:r>
      <w:r w:rsidR="00DD7934">
        <w:t>is</w:t>
      </w:r>
      <w:r>
        <w:t xml:space="preserve"> interesting political layer</w:t>
      </w:r>
      <w:r w:rsidR="007F6989">
        <w:t>,</w:t>
      </w:r>
      <w:r>
        <w:t xml:space="preserve"> accompanied </w:t>
      </w:r>
      <w:r w:rsidR="007F6989">
        <w:t xml:space="preserve">as it is </w:t>
      </w:r>
      <w:r>
        <w:t xml:space="preserve">by the humor and energy of the story as a whole, we need to add a few important social tones in the novel: </w:t>
      </w:r>
      <w:r w:rsidR="002F4634">
        <w:t>Its attitude on</w:t>
      </w:r>
      <w:r>
        <w:t xml:space="preserve"> the importance of professional and certainly non-corrupt use of public money (</w:t>
      </w:r>
      <w:proofErr w:type="spellStart"/>
      <w:r>
        <w:t>Luriah</w:t>
      </w:r>
      <w:proofErr w:type="spellEnd"/>
      <w:r>
        <w:t xml:space="preserve"> was very strict on this matter when he worked at </w:t>
      </w:r>
      <w:proofErr w:type="spellStart"/>
      <w:r>
        <w:t>Netivei</w:t>
      </w:r>
      <w:proofErr w:type="spellEnd"/>
      <w:r>
        <w:t xml:space="preserve"> </w:t>
      </w:r>
      <w:proofErr w:type="spellStart"/>
      <w:r>
        <w:t>Yisra’el</w:t>
      </w:r>
      <w:proofErr w:type="spellEnd"/>
      <w:r>
        <w:t xml:space="preserve">, formerly the Public Works Council); the protest against the exporting of Israeli defense knowledge to dubious regimes, as opposed to the constructive and non-destructive information Israel once exported to what was then called “third world countries” (this </w:t>
      </w:r>
      <w:r w:rsidR="003A3759">
        <w:t>matter</w:t>
      </w:r>
      <w:r>
        <w:t xml:space="preserve"> is expressed in an enthusiastic speech of a representative of the Foreign Ministry at a retirement party of one of the workers of </w:t>
      </w:r>
      <w:proofErr w:type="spellStart"/>
      <w:r>
        <w:t>Netivei</w:t>
      </w:r>
      <w:proofErr w:type="spellEnd"/>
      <w:r>
        <w:t xml:space="preserve"> Yisrael). And all, I should stress</w:t>
      </w:r>
      <w:r w:rsidR="003A0A8E">
        <w:t xml:space="preserve"> again</w:t>
      </w:r>
      <w:r>
        <w:t xml:space="preserve">, based on narrative vitality and heartening contemporariness (see, for instance, the story of the loss of </w:t>
      </w:r>
      <w:proofErr w:type="spellStart"/>
      <w:r>
        <w:t>Luriah’s</w:t>
      </w:r>
      <w:proofErr w:type="spellEnd"/>
      <w:r>
        <w:t xml:space="preserve"> cellphone, a modern mini-tragedy of identity loss in itself – </w:t>
      </w:r>
      <w:r>
        <w:lastRenderedPageBreak/>
        <w:t>p.192-193; or his decision to tattoo his car’s code to his arm, on p. 217, an action which means making the tattooed arm, such a charged symbol in Israel reality</w:t>
      </w:r>
      <w:r w:rsidR="00CE664F">
        <w:t>, into something “civilian” and even tragicomic).</w:t>
      </w:r>
      <w:r w:rsidR="002B51BE" w:rsidRPr="002B51BE">
        <w:rPr>
          <w:rFonts w:hint="cs"/>
          <w:rtl/>
        </w:rPr>
        <w:t xml:space="preserve"> </w:t>
      </w:r>
    </w:p>
    <w:p w14:paraId="1248BF71" w14:textId="12D99CFF" w:rsidR="002B51BE" w:rsidRDefault="00A53316" w:rsidP="00A53316">
      <w:pPr>
        <w:pStyle w:val="a3"/>
        <w:bidi w:val="0"/>
      </w:pPr>
      <w:r>
        <w:t>But I wish in this essay to dwell on another central component in the text, which makes it a particularly timely work – and observe it from an entirely different direction than those already mentioned.</w:t>
      </w:r>
      <w:r w:rsidR="002B51BE" w:rsidRPr="002B51BE">
        <w:rPr>
          <w:rFonts w:hint="cs"/>
          <w:rtl/>
        </w:rPr>
        <w:t xml:space="preserve"> </w:t>
      </w:r>
    </w:p>
    <w:p w14:paraId="41688E52" w14:textId="77777777" w:rsidR="005A7F33" w:rsidRPr="002B51BE" w:rsidRDefault="005A7F33" w:rsidP="005A7F33">
      <w:pPr>
        <w:pStyle w:val="a3"/>
        <w:bidi w:val="0"/>
        <w:rPr>
          <w:rtl/>
        </w:rPr>
      </w:pPr>
    </w:p>
    <w:p w14:paraId="0BE51B1C" w14:textId="3582A0E5" w:rsidR="002B51BE" w:rsidRPr="002B51BE" w:rsidRDefault="001A25D3" w:rsidP="001A25D3">
      <w:pPr>
        <w:pStyle w:val="a7"/>
        <w:bidi w:val="0"/>
        <w:rPr>
          <w:rtl/>
        </w:rPr>
      </w:pPr>
      <w:r>
        <w:t>II</w:t>
      </w:r>
    </w:p>
    <w:p w14:paraId="747A9766" w14:textId="5003FAB5" w:rsidR="00FF6FB9" w:rsidRDefault="00FF6FB9" w:rsidP="00FF6FB9">
      <w:pPr>
        <w:pStyle w:val="a3"/>
        <w:bidi w:val="0"/>
      </w:pPr>
      <w:r>
        <w:t>Already in the beginning of the novel, the seasoned writer plants one of the central keys to understanding the novel and its importance in our time.</w:t>
      </w:r>
    </w:p>
    <w:p w14:paraId="43B5D350" w14:textId="1D96362A" w:rsidR="00FF6FB9" w:rsidRDefault="00FF6FB9" w:rsidP="00FF6FB9">
      <w:pPr>
        <w:pStyle w:val="a3"/>
        <w:bidi w:val="0"/>
      </w:pPr>
      <w:r>
        <w:t xml:space="preserve">The neurologist informs </w:t>
      </w:r>
      <w:proofErr w:type="spellStart"/>
      <w:r>
        <w:t>Luriah</w:t>
      </w:r>
      <w:proofErr w:type="spellEnd"/>
      <w:r>
        <w:t xml:space="preserve"> and his wife that there is indeed “atrophy attesting to light degeneration” in </w:t>
      </w:r>
      <w:proofErr w:type="spellStart"/>
      <w:r>
        <w:t>Tzvi’s</w:t>
      </w:r>
      <w:proofErr w:type="spellEnd"/>
      <w:r>
        <w:t xml:space="preserve"> brain, but they should not despair. It should be fought. “Fight against my own brain?” </w:t>
      </w:r>
      <w:proofErr w:type="spellStart"/>
      <w:r>
        <w:t>Tzvi</w:t>
      </w:r>
      <w:proofErr w:type="spellEnd"/>
      <w:r>
        <w:t xml:space="preserve"> wonders. To this the neurologist answers, “The soul against the brain.” The stunned </w:t>
      </w:r>
      <w:proofErr w:type="spellStart"/>
      <w:r>
        <w:t>Tzvi</w:t>
      </w:r>
      <w:proofErr w:type="spellEnd"/>
      <w:r>
        <w:t xml:space="preserve"> says “And I thought they were one and the same.” To this the neurologist answers unequivocally: “Not at all, not at all” (p. 7-8). With the same cleverness (which I assume to be intuitive among great authors), the narrator tells us that “For the first time the patient notes that between the curls of the neurologist’s hair hides a small </w:t>
      </w:r>
      <w:proofErr w:type="spellStart"/>
      <w:r>
        <w:t>kipa</w:t>
      </w:r>
      <w:proofErr w:type="spellEnd"/>
      <w:r>
        <w:t>. When he was examined while lying down, it was probably removed lest it fall on his face” (p. 8; with deliberate intent, in my view, the narrator tarried in the revelation of the doctor’s religiosity, which may have perhaps weakened his statement regarding the existence of the “soul” a few lines before).</w:t>
      </w:r>
    </w:p>
    <w:p w14:paraId="26A8B769" w14:textId="3B921773" w:rsidR="009453CB" w:rsidRDefault="009453CB" w:rsidP="009453CB">
      <w:pPr>
        <w:pStyle w:val="a3"/>
        <w:bidi w:val="0"/>
      </w:pPr>
      <w:r>
        <w:t xml:space="preserve">Yehoshua is breaking through here into one of the central issues of our time: The increased tendency to explain man as solely a product of materialistic processes, while reducing the unique category of the “soul.” The category of the soul is indeed not </w:t>
      </w:r>
      <w:r>
        <w:rPr>
          <w:b/>
          <w:bCs/>
        </w:rPr>
        <w:t>necessarily</w:t>
      </w:r>
      <w:r>
        <w:t xml:space="preserve"> a religious one, and the tendency towards reducing it is the subject of strong debate within the scientific community itself (with complete secularists to be found at both ends). But religion did indeed grant a substantial tailwind to this category, and in our day, religion’s message of the existence of a soul seems to me more relevant than its message on the existence of “God,” and the central heresy of our generation has been the rejection of the “soul” rather than the denial of “God.”</w:t>
      </w:r>
    </w:p>
    <w:p w14:paraId="6E9A6573" w14:textId="775644B8" w:rsidR="0030531F" w:rsidRDefault="0030531F" w:rsidP="0030531F">
      <w:pPr>
        <w:pStyle w:val="a3"/>
        <w:bidi w:val="0"/>
      </w:pPr>
      <w:r>
        <w:t xml:space="preserve">The practice of </w:t>
      </w:r>
      <w:r w:rsidR="009D73A3">
        <w:t>f</w:t>
      </w:r>
      <w:r>
        <w:t>MR</w:t>
      </w:r>
      <w:r w:rsidR="009D73A3">
        <w:t>I</w:t>
      </w:r>
      <w:r>
        <w:t xml:space="preserve">s, brain imagery in which we “see” the activity of the brain, has spread far and wide among the broader public – both mistakenly and rightly. Mistakenly, since this technique does not “explain” or “show” the activity of the brain, but rather solely the </w:t>
      </w:r>
      <w:r>
        <w:rPr>
          <w:b/>
          <w:bCs/>
        </w:rPr>
        <w:t>correlation</w:t>
      </w:r>
      <w:r>
        <w:t xml:space="preserve"> between emotions/thoughts/intentions and physical changes in the brain. Yet still rightly, since we have a dramatic removal of the curtain in the </w:t>
      </w:r>
      <w:r w:rsidR="00273FE4">
        <w:t>phenomenological</w:t>
      </w:r>
      <w:r>
        <w:t xml:space="preserve"> sense: Making the “internal,” the “hidden,” into something revealed and viewable; this </w:t>
      </w:r>
      <w:r w:rsidR="00273FE4">
        <w:t xml:space="preserve">amounts to a reordering of fundamentals – those arrangements in which the “soul” is what is “within,” hidden, mysterious. When God tells Shmuel not to be impressed by the tall </w:t>
      </w:r>
      <w:proofErr w:type="spellStart"/>
      <w:r w:rsidR="00273FE4">
        <w:t>Eliav</w:t>
      </w:r>
      <w:proofErr w:type="spellEnd"/>
      <w:r w:rsidR="00273FE4">
        <w:t xml:space="preserve">, but to seek after the less impressive David, He uses immortal words (or to be more precise, long term, since as noted, present-day views and practices threaten their “immortality”): “Do not look to his </w:t>
      </w:r>
      <w:r w:rsidR="00273FE4">
        <w:lastRenderedPageBreak/>
        <w:t xml:space="preserve">height and the size of his stature, for I am repulsed by this; for it is not how man looks for how man looks to the eyes and God will see to the heart” (I Sam, 16:7). This “heart” is what is not visible, the internal, the “hidden,” the “soul,” the “spirit.” And here the fMRI does precisely that. It ostensibly </w:t>
      </w:r>
      <w:r w:rsidR="00273FE4">
        <w:rPr>
          <w:b/>
          <w:bCs/>
        </w:rPr>
        <w:t>shows</w:t>
      </w:r>
      <w:r w:rsidR="00273FE4">
        <w:t xml:space="preserve"> man the “heart.” There is an escalation here when it comes to the “disenchantment of the world,” as Max Weber described modern science.</w:t>
      </w:r>
    </w:p>
    <w:p w14:paraId="7A84E5ED" w14:textId="2E70F3D3" w:rsidR="002B51BE" w:rsidRDefault="004A1BB3" w:rsidP="004A1BB3">
      <w:pPr>
        <w:pStyle w:val="a3"/>
        <w:bidi w:val="0"/>
      </w:pPr>
      <w:r>
        <w:t>With the insistence of the neurologist – and of the novel itself, as we will see later on – that a “soul” exists separately from the brain, the neurologist is coming out against a popular opinion in our time, a materialist understanding of man lowering his stature.</w:t>
      </w:r>
      <w:r w:rsidR="002B51BE" w:rsidRPr="002B51BE">
        <w:rPr>
          <w:rFonts w:hint="cs"/>
          <w:rtl/>
        </w:rPr>
        <w:t xml:space="preserve"> </w:t>
      </w:r>
    </w:p>
    <w:p w14:paraId="3E46B3CE" w14:textId="69995BB3" w:rsidR="00581494" w:rsidRDefault="00581494" w:rsidP="00581494">
      <w:pPr>
        <w:pStyle w:val="a3"/>
        <w:bidi w:val="0"/>
      </w:pPr>
      <w:r>
        <w:t xml:space="preserve">But in addition to this decisive philosophical issue, perhaps the most important question of the age, this tension between “soul” and “brain” is particularly relevant to the novelist. The debate regarding man’s essence is not just a matter of general meaning but, one could say, is even more professionally pressing for the author. The novel is built on the exposure of the “secret lives” of its heroes, as A.M. Forster argued in his book Aspects of the Novel (1927). Exposing the hidden and winding soul of the heroes of one of the classical roles of the novel. And take note: Exposing the “soul.” What it wishes, consciously or not, what it hides from others or itself. But if we forgo the “soul” and explain human existence in an extreme materialist form, as deriving solely from the actions of hormones and neurotransmitters and the like, the novel loses its purpose. Why? Because as opposed to emotional forces, which are effectively anthropomorphic in themselves, meaning miniature models of people (in Freudian terms: The Id </w:t>
      </w:r>
      <w:r>
        <w:rPr>
          <w:b/>
          <w:bCs/>
        </w:rPr>
        <w:t>wants</w:t>
      </w:r>
      <w:r>
        <w:t xml:space="preserve"> something and the superego </w:t>
      </w:r>
      <w:r>
        <w:rPr>
          <w:b/>
          <w:bCs/>
        </w:rPr>
        <w:t>blocks</w:t>
      </w:r>
      <w:r>
        <w:t xml:space="preserve"> it and the ego </w:t>
      </w:r>
      <w:r>
        <w:rPr>
          <w:b/>
          <w:bCs/>
        </w:rPr>
        <w:t>mediates</w:t>
      </w:r>
      <w:r>
        <w:t xml:space="preserve"> between them, or that the Id </w:t>
      </w:r>
      <w:r>
        <w:rPr>
          <w:b/>
          <w:bCs/>
        </w:rPr>
        <w:t>outsmarts</w:t>
      </w:r>
      <w:r>
        <w:t xml:space="preserve"> the superego, &amp;c), the materialist elements are “stupid</w:t>
      </w:r>
      <w:r w:rsidR="00133534">
        <w:t>.</w:t>
      </w:r>
      <w:r>
        <w:t xml:space="preserve">” </w:t>
      </w:r>
      <w:r w:rsidR="00133534">
        <w:t>T</w:t>
      </w:r>
      <w:r>
        <w:t>hey do not want anything, they simply act. And they are thus uninteresting in the literary sense.</w:t>
      </w:r>
    </w:p>
    <w:p w14:paraId="7A01542A" w14:textId="073174B1" w:rsidR="0057170F" w:rsidRDefault="0057170F" w:rsidP="0057170F">
      <w:pPr>
        <w:pStyle w:val="a3"/>
        <w:bidi w:val="0"/>
      </w:pPr>
      <w:r>
        <w:t>Therefore, in a very interesting article from 1997,</w:t>
      </w:r>
      <w:r w:rsidR="00CC6DF2">
        <w:t xml:space="preserve"> M</w:t>
      </w:r>
      <w:r w:rsidR="00CC6DF2" w:rsidRPr="00CC6DF2">
        <w:t xml:space="preserve">ichael </w:t>
      </w:r>
      <w:r w:rsidR="00D7634C" w:rsidRPr="00D7634C">
        <w:t>Houellebecq</w:t>
      </w:r>
      <w:r w:rsidR="00D7634C">
        <w:rPr>
          <w:rFonts w:ascii="Arial" w:hAnsi="Arial" w:cs="Arial"/>
          <w:color w:val="4D5156"/>
          <w:sz w:val="21"/>
          <w:szCs w:val="21"/>
          <w:shd w:val="clear" w:color="auto" w:fill="FFFFFF"/>
        </w:rPr>
        <w:t> </w:t>
      </w:r>
      <w:r w:rsidR="00CC6DF2">
        <w:t xml:space="preserve">– in my view, one of the most prominent </w:t>
      </w:r>
      <w:r w:rsidR="00262378">
        <w:t>theoreticians</w:t>
      </w:r>
      <w:r w:rsidR="00CC6DF2">
        <w:t xml:space="preserve"> of the novel genre today in my view (alongside being a central author himself, of course), argues that “The idea of a character in a novel seems to me one that assumes perhaps not the existence of a soul, but at least the existence of a certain </w:t>
      </w:r>
      <w:r w:rsidR="00CC6DF2">
        <w:rPr>
          <w:b/>
          <w:bCs/>
        </w:rPr>
        <w:t>psychological depth</w:t>
      </w:r>
      <w:r w:rsidR="00CC6DF2">
        <w:t xml:space="preserve">. One can at least agree that the advanced investigation of psychology was considered for a long period to be one of the areas of expertise of the novelist” – while today the tendency is increasing to explain man “with a short list of [material] numerical parameters.” This tendency, he says, makes the </w:t>
      </w:r>
      <w:r w:rsidR="00262378">
        <w:t>necessity</w:t>
      </w:r>
      <w:r w:rsidR="00CC6DF2">
        <w:t xml:space="preserve"> of the traditional role of the novelist a fragile one. (My translation of his collection of essays “Interventions 2,” p. 251).</w:t>
      </w:r>
    </w:p>
    <w:p w14:paraId="31C6CDB0" w14:textId="77777777" w:rsidR="00A45D18" w:rsidRPr="00CC6DF2" w:rsidRDefault="00A45D18" w:rsidP="00A45D18">
      <w:pPr>
        <w:pStyle w:val="a3"/>
        <w:bidi w:val="0"/>
        <w:rPr>
          <w:rtl/>
        </w:rPr>
      </w:pPr>
    </w:p>
    <w:p w14:paraId="1B9AAEC0" w14:textId="604D44E0" w:rsidR="002B51BE" w:rsidRPr="002B51BE" w:rsidRDefault="00A45D18" w:rsidP="00A45D18">
      <w:pPr>
        <w:pStyle w:val="a7"/>
        <w:bidi w:val="0"/>
        <w:rPr>
          <w:rtl/>
        </w:rPr>
      </w:pPr>
      <w:r>
        <w:t>III</w:t>
      </w:r>
    </w:p>
    <w:p w14:paraId="23117375" w14:textId="4E50236A" w:rsidR="00FA4B67" w:rsidRDefault="00FA4B67" w:rsidP="00FA4B67">
      <w:pPr>
        <w:pStyle w:val="a3"/>
        <w:bidi w:val="0"/>
      </w:pPr>
      <w:r>
        <w:t>Yehoshua’s coping with these weighty issues is done in a number of ways.</w:t>
      </w:r>
    </w:p>
    <w:p w14:paraId="736B8A0C" w14:textId="5731CC38" w:rsidR="00FA4B67" w:rsidRDefault="00FA4B67" w:rsidP="00FA4B67">
      <w:pPr>
        <w:pStyle w:val="a3"/>
        <w:bidi w:val="0"/>
      </w:pPr>
      <w:r>
        <w:t xml:space="preserve">At the more visible level, he tries unceasingly to </w:t>
      </w:r>
      <w:r>
        <w:rPr>
          <w:b/>
          <w:bCs/>
        </w:rPr>
        <w:t>discipline</w:t>
      </w:r>
      <w:r>
        <w:t xml:space="preserve"> the dementia hovering over his protagonist’s head. He, as the narrator, and also his protagonist </w:t>
      </w:r>
      <w:proofErr w:type="spellStart"/>
      <w:r>
        <w:t>Luriah</w:t>
      </w:r>
      <w:proofErr w:type="spellEnd"/>
      <w:r>
        <w:t xml:space="preserve">, tries to use </w:t>
      </w:r>
      <w:r>
        <w:rPr>
          <w:b/>
          <w:bCs/>
        </w:rPr>
        <w:t>soul-</w:t>
      </w:r>
      <w:r>
        <w:t xml:space="preserve">based causation and grant meaning and sense based on the same. This, as opposed to </w:t>
      </w:r>
      <w:proofErr w:type="spellStart"/>
      <w:r>
        <w:t>Luriah’s</w:t>
      </w:r>
      <w:proofErr w:type="spellEnd"/>
      <w:r>
        <w:t xml:space="preserve"> son-in-law, a psychiatrist “who usually gives his patients pills, and only </w:t>
      </w:r>
      <w:r>
        <w:lastRenderedPageBreak/>
        <w:t>rarely has them lie on the couch” (p. 304). The psychiatrist son-in-law is marginal figure in the story, and this information about him therefore lets us know that the subject itself is very much not.</w:t>
      </w:r>
    </w:p>
    <w:p w14:paraId="276544C6" w14:textId="57F042A9" w:rsidR="002B51BE" w:rsidRDefault="00493079" w:rsidP="00693BEB">
      <w:pPr>
        <w:pStyle w:val="a3"/>
        <w:bidi w:val="0"/>
      </w:pPr>
      <w:proofErr w:type="spellStart"/>
      <w:r>
        <w:t>Tzvi</w:t>
      </w:r>
      <w:proofErr w:type="spellEnd"/>
      <w:r>
        <w:t xml:space="preserve"> </w:t>
      </w:r>
      <w:proofErr w:type="spellStart"/>
      <w:r>
        <w:t>Luriah</w:t>
      </w:r>
      <w:proofErr w:type="spellEnd"/>
      <w:r>
        <w:t xml:space="preserve"> – and this is the clearest example of this disciplining effort – ties the emergence of his dementia with that day in which he set out towards the home of his deputy engineer, in order to </w:t>
      </w:r>
      <w:r w:rsidR="00CD2BB2">
        <w:t>g</w:t>
      </w:r>
      <w:r>
        <w:t xml:space="preserve">ive his wife a plan which she should give to her husband, who had already gone to Kenya for a bit on business (“It sometimes occurred to him that maybe then, during that muddy morning, the seed of dementia began to bud in his brain” – p. 67). What happened that “muddy morning,” as is described in p. 62-67, is </w:t>
      </w:r>
      <w:proofErr w:type="spellStart"/>
      <w:r>
        <w:t>Luriah’s</w:t>
      </w:r>
      <w:proofErr w:type="spellEnd"/>
      <w:r>
        <w:t xml:space="preserve"> refusal of the advances of his colleague’s wife. </w:t>
      </w:r>
      <w:proofErr w:type="spellStart"/>
      <w:r>
        <w:t>Luriah</w:t>
      </w:r>
      <w:proofErr w:type="spellEnd"/>
      <w:r>
        <w:t xml:space="preserve">, implicitly, believes this is a kind of punishment or the consequence of the repression of his libido. </w:t>
      </w:r>
      <w:r w:rsidR="00693BEB">
        <w:t xml:space="preserve">In other words, the repression of the sexual urge (at that opportunity) is the beginning of the action of general repression and forgetfulness expressed in dementia. Dementia may, </w:t>
      </w:r>
      <w:proofErr w:type="spellStart"/>
      <w:r w:rsidR="00693BEB">
        <w:t>Luriah</w:t>
      </w:r>
      <w:proofErr w:type="spellEnd"/>
      <w:r w:rsidR="00693BEB">
        <w:t xml:space="preserve"> ponders, be “the folding of the soul into itself” – as he calls the dementia of his relative who made Aliyah from North America and fell into a depression which led to dementia (p. 36).</w:t>
      </w:r>
      <w:r w:rsidR="002B51BE" w:rsidRPr="002B51BE">
        <w:rPr>
          <w:rFonts w:hint="cs"/>
          <w:rtl/>
        </w:rPr>
        <w:t xml:space="preserve"> </w:t>
      </w:r>
    </w:p>
    <w:p w14:paraId="5E7C39A7" w14:textId="0878FE49" w:rsidR="00CC2415" w:rsidRDefault="00CC2415" w:rsidP="00CC2415">
      <w:pPr>
        <w:pStyle w:val="a3"/>
        <w:bidi w:val="0"/>
      </w:pPr>
      <w:r>
        <w:t xml:space="preserve">Meanwhile </w:t>
      </w:r>
      <w:proofErr w:type="spellStart"/>
      <w:r>
        <w:t>Luriah’s</w:t>
      </w:r>
      <w:proofErr w:type="spellEnd"/>
      <w:r>
        <w:t xml:space="preserve"> son Yoav explains the dementia as being due to his father, having retired, becoming the servant of his mother, and thus “narrowing his soul.”</w:t>
      </w:r>
    </w:p>
    <w:p w14:paraId="24BFD923" w14:textId="44BC3F18" w:rsidR="00CC2415" w:rsidRPr="002B51BE" w:rsidRDefault="00CC2415" w:rsidP="00794E9F">
      <w:pPr>
        <w:pStyle w:val="a3"/>
        <w:bidi w:val="0"/>
        <w:ind w:left="720" w:right="720"/>
        <w:rPr>
          <w:rtl/>
        </w:rPr>
      </w:pPr>
      <w:r>
        <w:t xml:space="preserve">The soul, Yoav leaped, exactly, and after all it is for it, Abba, that I am here. After all it is not a coincidence that those struck with dementia are called “soul-exhausted” and not “brain-exhausted.” </w:t>
      </w:r>
      <w:proofErr w:type="gramStart"/>
      <w:r>
        <w:t>So</w:t>
      </w:r>
      <w:proofErr w:type="gramEnd"/>
      <w:r>
        <w:t xml:space="preserve"> here’s what I have to say and please, do not be offended. You are a sen</w:t>
      </w:r>
      <w:r w:rsidR="00EF7B26">
        <w:t>i</w:t>
      </w:r>
      <w:r>
        <w:t>or engineer, who has broad technological experience, and for many years, as a manager, you built and paved with knowledge and understanding. I therefore am up in arms at the fact that all this ability, which I was also privileged to benefit from, will be wasted, be poured now into simple and lowly housework […] because I get the impression that after you fired the maid, you decided to be the made, a servant of mom. And here the soul began to reduce itself. (p. 30).</w:t>
      </w:r>
    </w:p>
    <w:p w14:paraId="2878B34A" w14:textId="793E3B3C" w:rsidR="002B51BE" w:rsidRDefault="007048D7" w:rsidP="007048D7">
      <w:pPr>
        <w:pStyle w:val="a3"/>
        <w:bidi w:val="0"/>
      </w:pPr>
      <w:r>
        <w:t xml:space="preserve">On another level, the novel implicitly pegs the dementia to another form of repression, unrelated to the previous erotic one: In his long-standing tendency (worthy of appreciation from another perspective) of </w:t>
      </w:r>
      <w:proofErr w:type="spellStart"/>
      <w:r>
        <w:t>Luriah</w:t>
      </w:r>
      <w:proofErr w:type="spellEnd"/>
      <w:r>
        <w:t xml:space="preserve"> to sharply separate his work life and his emotional life. He was not emotionally involved in the lives of his workers and managers because he did not wish to harm the work by involving unprofessional considerations. The novel hints that this is another psychological/soul-based explanation for dementia: Those who repress important parts of the soul, like emotions, will ultimately end in general amnesia</w:t>
      </w:r>
      <w:r w:rsidR="00664428">
        <w:t>, a</w:t>
      </w:r>
      <w:r>
        <w:t xml:space="preserve">nd vice versa – those who arouse their soul towards emotional activity may perhaps be able to fight dementia: “Indeed, </w:t>
      </w:r>
      <w:proofErr w:type="spellStart"/>
      <w:r>
        <w:t>Luriah</w:t>
      </w:r>
      <w:proofErr w:type="spellEnd"/>
      <w:r>
        <w:t xml:space="preserve"> always took care to maintain a distance from the private world of those subordinate to him, and all the more so from the worlds of those where he was subordinate </w:t>
      </w:r>
      <w:r>
        <w:rPr>
          <w:b/>
          <w:bCs/>
        </w:rPr>
        <w:t>to them</w:t>
      </w:r>
      <w:r>
        <w:t xml:space="preserve">; but now he wonders if from a distance, this would have been beneficial, there is still an advantage even in the present, in a state of light confusion. Although, as the neurologist </w:t>
      </w:r>
      <w:r>
        <w:lastRenderedPageBreak/>
        <w:t>advised, the soul is tasked with the duty of fighting against the creeping darkness within his brain, perhaps poking around in the hidden lives of others could help it sharpen itself” (p. 142).</w:t>
      </w:r>
      <w:r w:rsidR="002B51BE" w:rsidRPr="002B51BE">
        <w:rPr>
          <w:rFonts w:hint="cs"/>
          <w:rtl/>
        </w:rPr>
        <w:t xml:space="preserve"> </w:t>
      </w:r>
    </w:p>
    <w:p w14:paraId="052CD72D" w14:textId="42402CDE" w:rsidR="00387254" w:rsidRDefault="00387254" w:rsidP="00387254">
      <w:pPr>
        <w:pStyle w:val="a3"/>
        <w:bidi w:val="0"/>
      </w:pPr>
      <w:r>
        <w:t xml:space="preserve">When </w:t>
      </w:r>
      <w:proofErr w:type="spellStart"/>
      <w:r>
        <w:t>Luriah's</w:t>
      </w:r>
      <w:proofErr w:type="spellEnd"/>
      <w:r>
        <w:t xml:space="preserve"> dementia is explained as something related to the soul, he returns to being the lot of the novelist. There is sense and meaning and history to dementia. </w:t>
      </w:r>
      <w:proofErr w:type="spellStart"/>
      <w:r>
        <w:t>Tzvi</w:t>
      </w:r>
      <w:proofErr w:type="spellEnd"/>
      <w:r>
        <w:t xml:space="preserve"> is not just a machine that broke down (an uninteresting topic to the novelist). He is a man whose illness has a logic and a connection to his life as a whole.</w:t>
      </w:r>
    </w:p>
    <w:p w14:paraId="6CFF4D10" w14:textId="7BF6EDCF" w:rsidR="002B51BE" w:rsidRDefault="00387254" w:rsidP="00387254">
      <w:pPr>
        <w:pStyle w:val="a3"/>
        <w:bidi w:val="0"/>
      </w:pPr>
      <w:proofErr w:type="spellStart"/>
      <w:r>
        <w:t>Luriah</w:t>
      </w:r>
      <w:proofErr w:type="spellEnd"/>
      <w:r>
        <w:t xml:space="preserve"> even tries to convince his wife to address her own illness, which breaks out during the novel, an utterly physical illness, from the psychological or soul-based and subjective perspective, and write an article about it:</w:t>
      </w:r>
    </w:p>
    <w:p w14:paraId="4B0E2213" w14:textId="76FD9B35" w:rsidR="00274FFE" w:rsidRPr="00274FFE" w:rsidRDefault="00274FFE" w:rsidP="00D923CC">
      <w:pPr>
        <w:pStyle w:val="a3"/>
        <w:bidi w:val="0"/>
        <w:ind w:left="720" w:right="720"/>
        <w:rPr>
          <w:rtl/>
        </w:rPr>
      </w:pPr>
      <w:r>
        <w:t xml:space="preserve">So why don’t you write something personal on this “solely violent” bug? What were the early signs, how did you become confused and blurred, and why did I have to rush to hospitalize you, why did they make a mistake with the first antibiotic and what did it need to be replaced with, and also why did they insist on isolating you more than they intended to in the </w:t>
      </w:r>
      <w:proofErr w:type="gramStart"/>
      <w:r>
        <w:t>beginning.</w:t>
      </w:r>
      <w:proofErr w:type="gramEnd"/>
      <w:r>
        <w:t xml:space="preserve"> And you can also observe all the tests in your file and construct a summary from the perspective of a doctor handling her own disease </w:t>
      </w:r>
      <w:r>
        <w:rPr>
          <w:b/>
          <w:bCs/>
        </w:rPr>
        <w:t>and understanding it from within</w:t>
      </w:r>
      <w:r>
        <w:t xml:space="preserve"> (p. 279; emphasis mine).</w:t>
      </w:r>
    </w:p>
    <w:p w14:paraId="396CACED" w14:textId="45F49135" w:rsidR="002B51BE" w:rsidRDefault="00D923CC" w:rsidP="00D923CC">
      <w:pPr>
        <w:pStyle w:val="a3"/>
        <w:bidi w:val="0"/>
      </w:pPr>
      <w:r>
        <w:t xml:space="preserve">Meaning that Yehoshua, through Luria, reminds us that the category of “soul” – in this case in the context of the </w:t>
      </w:r>
      <w:r>
        <w:rPr>
          <w:b/>
          <w:bCs/>
        </w:rPr>
        <w:t>subjective</w:t>
      </w:r>
      <w:r>
        <w:t xml:space="preserve"> experience of existence – is worthy of attention in addition to the objective experience of the disease, with its quantified metrics and </w:t>
      </w:r>
      <w:r w:rsidR="00097CD3">
        <w:t>physiological</w:t>
      </w:r>
      <w:r>
        <w:t xml:space="preserve"> causes.</w:t>
      </w:r>
      <w:r w:rsidR="002B51BE" w:rsidRPr="002B51BE">
        <w:rPr>
          <w:rFonts w:hint="cs"/>
          <w:rtl/>
        </w:rPr>
        <w:t xml:space="preserve"> </w:t>
      </w:r>
    </w:p>
    <w:p w14:paraId="5273856E" w14:textId="77777777" w:rsidR="004028B1" w:rsidRPr="002B51BE" w:rsidRDefault="004028B1" w:rsidP="004028B1">
      <w:pPr>
        <w:pStyle w:val="a3"/>
        <w:bidi w:val="0"/>
        <w:rPr>
          <w:rtl/>
        </w:rPr>
      </w:pPr>
    </w:p>
    <w:p w14:paraId="1932D2AC" w14:textId="0F19182A" w:rsidR="002B51BE" w:rsidRPr="002B51BE" w:rsidRDefault="004028B1" w:rsidP="004028B1">
      <w:pPr>
        <w:pStyle w:val="a7"/>
        <w:bidi w:val="0"/>
        <w:rPr>
          <w:rtl/>
        </w:rPr>
      </w:pPr>
      <w:r>
        <w:t>IV</w:t>
      </w:r>
    </w:p>
    <w:p w14:paraId="4DC8CA67" w14:textId="612F8351" w:rsidR="002B51BE" w:rsidRDefault="00641437" w:rsidP="00641437">
      <w:pPr>
        <w:pStyle w:val="a3"/>
        <w:bidi w:val="0"/>
      </w:pPr>
      <w:r>
        <w:t xml:space="preserve">Meanwhile at the more hidden level, Yehoshua copes with the issue of radical materialism vs. mind-body dualism in that the novel itself and indeed sometimes </w:t>
      </w:r>
      <w:proofErr w:type="spellStart"/>
      <w:r>
        <w:t>Luriah</w:t>
      </w:r>
      <w:proofErr w:type="spellEnd"/>
      <w:r>
        <w:t xml:space="preserve"> </w:t>
      </w:r>
      <w:r>
        <w:rPr>
          <w:b/>
          <w:bCs/>
        </w:rPr>
        <w:t>systematically refers to inanimate objects as having souls</w:t>
      </w:r>
      <w:r>
        <w:t>, and thus gives life to the novel’s philosophical trend of treating the “inanimate” brain matter as being subject to a soul, meaning as possessing logic, will, meaning.</w:t>
      </w:r>
      <w:r w:rsidR="002B51BE" w:rsidRPr="002B51BE">
        <w:rPr>
          <w:rFonts w:hint="cs"/>
          <w:rtl/>
        </w:rPr>
        <w:t xml:space="preserve"> </w:t>
      </w:r>
    </w:p>
    <w:p w14:paraId="76CD9CBB" w14:textId="3BD7D436" w:rsidR="006D3F0E" w:rsidRDefault="006D3F0E" w:rsidP="006D3F0E">
      <w:pPr>
        <w:pStyle w:val="a3"/>
        <w:bidi w:val="0"/>
      </w:pPr>
      <w:r>
        <w:t xml:space="preserve">The novel contains dozens of such "anthropomorphisms,” if not more. Here are some prominent ones. </w:t>
      </w:r>
      <w:proofErr w:type="spellStart"/>
      <w:r>
        <w:t>Luriah</w:t>
      </w:r>
      <w:proofErr w:type="spellEnd"/>
      <w:r>
        <w:t xml:space="preserve"> talks with his car as though it were a person. “It seemed to him that while starting it, the movement of the wheels and the pistons were also joined by a very brief thin murmuring, a Japanese or Korean divine voice of a young girl, perhaps implanted in the electric system like a kind of Blessing for the Road […] when alone in the car, he sometimes hummed back to the young girl: Yes, my dear, I hear you, but I don’t understand” (p. 18). Even in the use of the navigating app, </w:t>
      </w:r>
      <w:proofErr w:type="spellStart"/>
      <w:r>
        <w:t>Luriah’s</w:t>
      </w:r>
      <w:proofErr w:type="spellEnd"/>
      <w:r>
        <w:t xml:space="preserve"> wife says, “what matters is you activate its voice, because human voice still has more meaning for you than the lines and arrows of maps” (p. 251). Computers are also humanized: “Computers converse with each other with more friendliness and honesty than people” (p. 256).</w:t>
      </w:r>
    </w:p>
    <w:p w14:paraId="2F54999F" w14:textId="6284199B" w:rsidR="002B51BE" w:rsidRDefault="00AB5C37" w:rsidP="00A615B2">
      <w:pPr>
        <w:pStyle w:val="a3"/>
        <w:bidi w:val="0"/>
      </w:pPr>
      <w:r>
        <w:lastRenderedPageBreak/>
        <w:t xml:space="preserve">It’s not just technology. For Yehoshua, the sun also has a soul, a human side: “When the sun slaps his eyes” (p. 95). And the rain: “And only the rain continues to beat against the car, as though it has no need in the south for clouds to prove its existence” (p. 95). And the moon: “A low and bent crescent, dragged into the north of the country solely out of obligation” (p. 198). And even organisms without consciousness, like bacteria, have a “soul” in the world of “The Tunnel”: </w:t>
      </w:r>
      <w:r w:rsidR="00D80A9B">
        <w:t>“The bacteria didn’t want me” (p. 209). And the same is true of explicitly human artefacts, like the Ayalon Highway: “</w:t>
      </w:r>
      <w:r w:rsidR="00A615B2">
        <w:t>And it confidently navigated to road 20, with the hope that [the road itself] could discover road 4 to connect to it” (p. 311).</w:t>
      </w:r>
      <w:r w:rsidR="002B51BE" w:rsidRPr="002B51BE">
        <w:rPr>
          <w:rFonts w:hint="cs"/>
          <w:rtl/>
        </w:rPr>
        <w:t xml:space="preserve"> </w:t>
      </w:r>
    </w:p>
    <w:p w14:paraId="00D73C55" w14:textId="77777777" w:rsidR="0018228B" w:rsidRPr="002B51BE" w:rsidRDefault="0018228B" w:rsidP="0018228B">
      <w:pPr>
        <w:pStyle w:val="a3"/>
        <w:bidi w:val="0"/>
        <w:rPr>
          <w:rtl/>
        </w:rPr>
      </w:pPr>
    </w:p>
    <w:p w14:paraId="5B9630D7" w14:textId="0FE8CDB9" w:rsidR="002B51BE" w:rsidRPr="002B51BE" w:rsidRDefault="0018228B" w:rsidP="0018228B">
      <w:pPr>
        <w:pStyle w:val="a7"/>
        <w:bidi w:val="0"/>
        <w:rPr>
          <w:rtl/>
        </w:rPr>
      </w:pPr>
      <w:r>
        <w:t>V</w:t>
      </w:r>
    </w:p>
    <w:p w14:paraId="0A4D7E42" w14:textId="09ED416C" w:rsidR="00F1485E" w:rsidRDefault="00F1485E" w:rsidP="00F1485E">
      <w:pPr>
        <w:pStyle w:val="a3"/>
        <w:bidi w:val="0"/>
      </w:pPr>
      <w:r>
        <w:t xml:space="preserve">When I write that Yehoshua “copes” with the weighty philosophical issue of body and mind in his novel, I don’t mean that he’s trying to solve it as a philosopher or scientist. I mean that with his highly attuned senses, he succeeds in identifying the burning issues of the day (and this identification may be intuitive and not entirely conscious), and that he injects a philosophical perspective into his novel which is now in an inferior position and reminds of its importance. He </w:t>
      </w:r>
      <w:r w:rsidR="00203910">
        <w:t xml:space="preserve">injects his book with a soul-based interpretation of man’s behavior, which is after all possible even in a case like </w:t>
      </w:r>
      <w:proofErr w:type="spellStart"/>
      <w:r w:rsidR="00203910">
        <w:t>Luriah’s</w:t>
      </w:r>
      <w:proofErr w:type="spellEnd"/>
      <w:r w:rsidR="00203910">
        <w:t>.</w:t>
      </w:r>
    </w:p>
    <w:p w14:paraId="6DF38660" w14:textId="2ED00381" w:rsidR="00760A78" w:rsidRDefault="00760A78" w:rsidP="00760A78">
      <w:pPr>
        <w:pStyle w:val="a3"/>
        <w:bidi w:val="0"/>
      </w:pPr>
      <w:r>
        <w:t>This does not mean that Yehoshua claims that dementia is always that way, or that he’s against psychiatric drugs and only recommends talk therapy and the like. What I mean is that he is energetically signaling that there are other ways to understand human behavior, ways which are sometimes abandoned or neglected too readily.</w:t>
      </w:r>
    </w:p>
    <w:p w14:paraId="7D232F72" w14:textId="61ED8190" w:rsidR="00D97103" w:rsidRDefault="00D97103" w:rsidP="00D97103">
      <w:pPr>
        <w:pStyle w:val="a3"/>
        <w:bidi w:val="0"/>
      </w:pPr>
      <w:r>
        <w:t xml:space="preserve">Furthermore, Yehoshua’s “coping” with the philosophical issue is done in an </w:t>
      </w:r>
      <w:r>
        <w:rPr>
          <w:b/>
          <w:bCs/>
        </w:rPr>
        <w:t>aesthetic</w:t>
      </w:r>
      <w:r>
        <w:t xml:space="preserve"> manner. With the aid of those dozens of aforementioned anthropomorphisms, he creates an unusual merging of the general spirit of the novel – which is quick to identify a “soul” and consciousness even in inanimate objects, human actions, or nature, and in the more inferior forms of life (such as bacteria) – and his general thesis on how the “soul” is separate from the “brain.”</w:t>
      </w:r>
    </w:p>
    <w:p w14:paraId="482541F9" w14:textId="3276D848" w:rsidR="002B51BE" w:rsidRPr="002B51BE" w:rsidRDefault="00D97103" w:rsidP="00D97103">
      <w:pPr>
        <w:pStyle w:val="a3"/>
        <w:bidi w:val="0"/>
        <w:rPr>
          <w:rtl/>
        </w:rPr>
      </w:pPr>
      <w:r>
        <w:t>The novel warns us, like the piyyut</w:t>
      </w:r>
      <w:r w:rsidR="00B414C5">
        <w:t xml:space="preserve"> [Jewish religious</w:t>
      </w:r>
      <w:r w:rsidR="00C15C39">
        <w:t>ly themed</w:t>
      </w:r>
      <w:r w:rsidR="00B414C5">
        <w:t xml:space="preserve"> poem]</w:t>
      </w:r>
      <w:r>
        <w:t>, to “take note of the soul.”</w:t>
      </w:r>
      <w:r w:rsidR="002B51BE" w:rsidRPr="002B51BE">
        <w:rPr>
          <w:rFonts w:hint="cs"/>
          <w:rtl/>
        </w:rPr>
        <w:t xml:space="preserve"> </w:t>
      </w:r>
    </w:p>
    <w:p w14:paraId="5860C4BF" w14:textId="77777777" w:rsidR="000A7970" w:rsidRDefault="00500B8B" w:rsidP="002B51BE">
      <w:pPr>
        <w:pStyle w:val="a3"/>
      </w:pPr>
    </w:p>
    <w:sectPr w:rsidR="000A7970" w:rsidSect="007662A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1BE"/>
    <w:rsid w:val="0000260D"/>
    <w:rsid w:val="00004C3D"/>
    <w:rsid w:val="00097CD3"/>
    <w:rsid w:val="00133534"/>
    <w:rsid w:val="0018228B"/>
    <w:rsid w:val="001A25D3"/>
    <w:rsid w:val="001C14D2"/>
    <w:rsid w:val="00203910"/>
    <w:rsid w:val="00262378"/>
    <w:rsid w:val="00273FE4"/>
    <w:rsid w:val="00274FFE"/>
    <w:rsid w:val="002B51BE"/>
    <w:rsid w:val="002D7FF3"/>
    <w:rsid w:val="002F4634"/>
    <w:rsid w:val="0030505B"/>
    <w:rsid w:val="0030531F"/>
    <w:rsid w:val="00343B74"/>
    <w:rsid w:val="00365A69"/>
    <w:rsid w:val="00387254"/>
    <w:rsid w:val="003A0A8E"/>
    <w:rsid w:val="003A3759"/>
    <w:rsid w:val="003E054F"/>
    <w:rsid w:val="004028B1"/>
    <w:rsid w:val="00434163"/>
    <w:rsid w:val="00493079"/>
    <w:rsid w:val="004A1BB3"/>
    <w:rsid w:val="00500B8B"/>
    <w:rsid w:val="00536E34"/>
    <w:rsid w:val="00571521"/>
    <w:rsid w:val="0057170F"/>
    <w:rsid w:val="00581494"/>
    <w:rsid w:val="00594407"/>
    <w:rsid w:val="005A13D7"/>
    <w:rsid w:val="005A7F33"/>
    <w:rsid w:val="0060460D"/>
    <w:rsid w:val="0062349F"/>
    <w:rsid w:val="0064137D"/>
    <w:rsid w:val="00641437"/>
    <w:rsid w:val="006573E4"/>
    <w:rsid w:val="00664428"/>
    <w:rsid w:val="006817C1"/>
    <w:rsid w:val="00693BEB"/>
    <w:rsid w:val="006D3F0E"/>
    <w:rsid w:val="007048D7"/>
    <w:rsid w:val="00742BB7"/>
    <w:rsid w:val="00760A78"/>
    <w:rsid w:val="00794E9F"/>
    <w:rsid w:val="007B7B65"/>
    <w:rsid w:val="007F6989"/>
    <w:rsid w:val="00861C38"/>
    <w:rsid w:val="008E0F86"/>
    <w:rsid w:val="008F7365"/>
    <w:rsid w:val="009453CB"/>
    <w:rsid w:val="009A5385"/>
    <w:rsid w:val="009D73A3"/>
    <w:rsid w:val="009F0046"/>
    <w:rsid w:val="00A45D18"/>
    <w:rsid w:val="00A53316"/>
    <w:rsid w:val="00A615B2"/>
    <w:rsid w:val="00AB5C37"/>
    <w:rsid w:val="00AC10E0"/>
    <w:rsid w:val="00B27D5F"/>
    <w:rsid w:val="00B35985"/>
    <w:rsid w:val="00B414C5"/>
    <w:rsid w:val="00B442A6"/>
    <w:rsid w:val="00B624C5"/>
    <w:rsid w:val="00BA24AA"/>
    <w:rsid w:val="00BD1522"/>
    <w:rsid w:val="00C1477E"/>
    <w:rsid w:val="00C15C39"/>
    <w:rsid w:val="00C32C9C"/>
    <w:rsid w:val="00CB3119"/>
    <w:rsid w:val="00CC2415"/>
    <w:rsid w:val="00CC6DF2"/>
    <w:rsid w:val="00CD0EF6"/>
    <w:rsid w:val="00CD2BB2"/>
    <w:rsid w:val="00CE664F"/>
    <w:rsid w:val="00CE7883"/>
    <w:rsid w:val="00CF7144"/>
    <w:rsid w:val="00D7634C"/>
    <w:rsid w:val="00D80A9B"/>
    <w:rsid w:val="00D923CC"/>
    <w:rsid w:val="00D97103"/>
    <w:rsid w:val="00DD7934"/>
    <w:rsid w:val="00E12D93"/>
    <w:rsid w:val="00E22697"/>
    <w:rsid w:val="00E24DBC"/>
    <w:rsid w:val="00E63D52"/>
    <w:rsid w:val="00EB4AFC"/>
    <w:rsid w:val="00EF7B26"/>
    <w:rsid w:val="00F0080C"/>
    <w:rsid w:val="00F1485E"/>
    <w:rsid w:val="00F26397"/>
    <w:rsid w:val="00FA4B67"/>
    <w:rsid w:val="00FE4192"/>
    <w:rsid w:val="00FF6F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E1344"/>
  <w15:chartTrackingRefBased/>
  <w15:docId w15:val="{9F6E097A-8597-4A79-8870-A9740DC21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he-IL"/>
      </w:rPr>
    </w:rPrDefault>
    <w:pPrDefault>
      <w:pPr>
        <w:bidi/>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1C38"/>
    <w:pPr>
      <w:spacing w:after="200" w:line="276" w:lineRule="auto"/>
      <w:jc w:val="left"/>
    </w:pPr>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טקסט"/>
    <w:basedOn w:val="a"/>
    <w:link w:val="Char"/>
    <w:qFormat/>
    <w:rsid w:val="00861C38"/>
    <w:pPr>
      <w:spacing w:after="120"/>
      <w:jc w:val="both"/>
    </w:pPr>
  </w:style>
  <w:style w:type="character" w:customStyle="1" w:styleId="Char">
    <w:name w:val="טקסט Char"/>
    <w:basedOn w:val="a0"/>
    <w:link w:val="a3"/>
    <w:rsid w:val="00861C38"/>
    <w:rPr>
      <w:rFonts w:ascii="Times New Roman" w:hAnsi="Times New Roman" w:cs="Times New Roman"/>
      <w:sz w:val="24"/>
      <w:szCs w:val="24"/>
    </w:rPr>
  </w:style>
  <w:style w:type="paragraph" w:customStyle="1" w:styleId="a4">
    <w:name w:val="כותרת"/>
    <w:basedOn w:val="a3"/>
    <w:link w:val="Char0"/>
    <w:qFormat/>
    <w:rsid w:val="00CF7144"/>
    <w:rPr>
      <w:sz w:val="40"/>
      <w:szCs w:val="40"/>
    </w:rPr>
  </w:style>
  <w:style w:type="character" w:customStyle="1" w:styleId="Char0">
    <w:name w:val="כותרת Char"/>
    <w:basedOn w:val="Char"/>
    <w:link w:val="a4"/>
    <w:rsid w:val="00CF7144"/>
    <w:rPr>
      <w:rFonts w:ascii="Times New Roman" w:eastAsia="Times New Roman" w:hAnsi="Times New Roman" w:cs="Times New Roman"/>
      <w:sz w:val="40"/>
      <w:szCs w:val="40"/>
    </w:rPr>
  </w:style>
  <w:style w:type="paragraph" w:customStyle="1" w:styleId="a5">
    <w:name w:val="משנה"/>
    <w:basedOn w:val="a4"/>
    <w:link w:val="Char1"/>
    <w:qFormat/>
    <w:rsid w:val="005A13D7"/>
    <w:rPr>
      <w:color w:val="7030A0"/>
      <w:sz w:val="32"/>
      <w:szCs w:val="32"/>
    </w:rPr>
  </w:style>
  <w:style w:type="character" w:customStyle="1" w:styleId="Char1">
    <w:name w:val="משנה Char"/>
    <w:basedOn w:val="Char0"/>
    <w:link w:val="a5"/>
    <w:rsid w:val="005A13D7"/>
    <w:rPr>
      <w:rFonts w:ascii="Times New Roman" w:eastAsia="Times New Roman" w:hAnsi="Times New Roman" w:cs="Times New Roman"/>
      <w:color w:val="7030A0"/>
      <w:sz w:val="32"/>
      <w:szCs w:val="32"/>
    </w:rPr>
  </w:style>
  <w:style w:type="paragraph" w:customStyle="1" w:styleId="a6">
    <w:name w:val="קרדיט"/>
    <w:basedOn w:val="a5"/>
    <w:link w:val="Char2"/>
    <w:qFormat/>
    <w:rsid w:val="00CF7144"/>
    <w:rPr>
      <w:color w:val="833C0B" w:themeColor="accent2" w:themeShade="80"/>
      <w:sz w:val="26"/>
      <w:szCs w:val="26"/>
    </w:rPr>
  </w:style>
  <w:style w:type="character" w:customStyle="1" w:styleId="Char2">
    <w:name w:val="קרדיט Char"/>
    <w:basedOn w:val="Char1"/>
    <w:link w:val="a6"/>
    <w:rsid w:val="00CF7144"/>
    <w:rPr>
      <w:rFonts w:ascii="Times New Roman" w:eastAsia="Times New Roman" w:hAnsi="Times New Roman" w:cs="Times New Roman"/>
      <w:color w:val="833C0B" w:themeColor="accent2" w:themeShade="80"/>
      <w:sz w:val="26"/>
      <w:szCs w:val="26"/>
    </w:rPr>
  </w:style>
  <w:style w:type="paragraph" w:customStyle="1" w:styleId="a7">
    <w:name w:val="ביניים"/>
    <w:basedOn w:val="a6"/>
    <w:link w:val="Char3"/>
    <w:qFormat/>
    <w:rsid w:val="00CF7144"/>
    <w:rPr>
      <w:color w:val="2F5496" w:themeColor="accent1" w:themeShade="BF"/>
      <w:sz w:val="30"/>
      <w:szCs w:val="30"/>
    </w:rPr>
  </w:style>
  <w:style w:type="character" w:customStyle="1" w:styleId="Char3">
    <w:name w:val="ביניים Char"/>
    <w:basedOn w:val="Char2"/>
    <w:link w:val="a7"/>
    <w:rsid w:val="00CF7144"/>
    <w:rPr>
      <w:rFonts w:ascii="Times New Roman" w:eastAsia="Times New Roman" w:hAnsi="Times New Roman" w:cs="Times New Roman"/>
      <w:color w:val="2F5496" w:themeColor="accent1" w:themeShade="BF"/>
      <w:sz w:val="30"/>
      <w:szCs w:val="30"/>
    </w:rPr>
  </w:style>
  <w:style w:type="paragraph" w:customStyle="1" w:styleId="1">
    <w:name w:val="ציטוט1"/>
    <w:basedOn w:val="a3"/>
    <w:link w:val="Char4"/>
    <w:qFormat/>
    <w:rsid w:val="00CF7144"/>
    <w:pPr>
      <w:ind w:left="567" w:right="227"/>
    </w:pPr>
  </w:style>
  <w:style w:type="character" w:customStyle="1" w:styleId="Char4">
    <w:name w:val="ציטוט Char"/>
    <w:basedOn w:val="Char"/>
    <w:link w:val="1"/>
    <w:rsid w:val="00CF7144"/>
    <w:rPr>
      <w:rFonts w:ascii="Times New Roman" w:eastAsia="Times New Roman" w:hAnsi="Times New Roman" w:cs="Times New Roman"/>
      <w:sz w:val="24"/>
      <w:szCs w:val="24"/>
    </w:rPr>
  </w:style>
  <w:style w:type="paragraph" w:customStyle="1" w:styleId="a8">
    <w:name w:val="שיר"/>
    <w:basedOn w:val="a3"/>
    <w:link w:val="Char5"/>
    <w:qFormat/>
    <w:rsid w:val="00CF7144"/>
    <w:pPr>
      <w:spacing w:after="0"/>
    </w:pPr>
    <w:rPr>
      <w:rFonts w:ascii="FrankRuehl" w:eastAsia="FrankRuehl" w:hAnsi="FrankRuehl" w:cs="FrankRuehl"/>
      <w:sz w:val="28"/>
      <w:szCs w:val="28"/>
    </w:rPr>
  </w:style>
  <w:style w:type="character" w:customStyle="1" w:styleId="Char5">
    <w:name w:val="שיר Char"/>
    <w:basedOn w:val="Char"/>
    <w:link w:val="a8"/>
    <w:rsid w:val="00CF7144"/>
    <w:rPr>
      <w:rFonts w:ascii="FrankRuehl" w:eastAsia="FrankRuehl" w:hAnsi="FrankRuehl" w:cs="FrankRuehl"/>
      <w:sz w:val="28"/>
      <w:szCs w:val="28"/>
    </w:rPr>
  </w:style>
  <w:style w:type="paragraph" w:styleId="a9">
    <w:name w:val="Intense Quote"/>
    <w:basedOn w:val="a"/>
    <w:next w:val="a"/>
    <w:link w:val="aa"/>
    <w:uiPriority w:val="30"/>
    <w:qFormat/>
    <w:rsid w:val="007B7B6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a">
    <w:name w:val="ציטוט חזק תו"/>
    <w:basedOn w:val="a0"/>
    <w:link w:val="a9"/>
    <w:uiPriority w:val="30"/>
    <w:rsid w:val="007B7B65"/>
    <w:rPr>
      <w:rFonts w:ascii="Times New Roman" w:hAnsi="Times New Roman" w:cs="Times New Roman"/>
      <w:i/>
      <w:iCs/>
      <w:color w:val="4472C4" w:themeColor="accent1"/>
      <w:sz w:val="24"/>
      <w:szCs w:val="24"/>
    </w:rPr>
  </w:style>
  <w:style w:type="character" w:styleId="ab">
    <w:name w:val="Emphasis"/>
    <w:basedOn w:val="a0"/>
    <w:uiPriority w:val="20"/>
    <w:qFormat/>
    <w:rsid w:val="00D763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2896</Words>
  <Characters>14485</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2021-06-19T07:31:00Z</dcterms:created>
  <dcterms:modified xsi:type="dcterms:W3CDTF">2021-06-19T07:31:00Z</dcterms:modified>
</cp:coreProperties>
</file>